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r>
        <w:t>Toleranseklasse er gitt i tabell 84-2.</w:t>
      </w:r>
    </w:p>
    <w:p>
      <w:r>
        <w:drawing>
          <wp:inline>
            <wp:extent cx="381000" cy="285750"/>
            <wp:docPr id="1" name="Bilde 1" descr="Tabell 84-2 Toleranseklasser"/>
            <a:graphic>
              <a:graphicData uri="http://schemas.openxmlformats.org/drawingml/2006/picture">
                <pic:pic>
                  <pic:nvPicPr>
                    <pic:cNvPr id="1" name="tabell-84-2.png" descr="Tabell 84-2 Toleranseklasser"/>
                    <pic:cNvPicPr/>
                  </pic:nvPicPr>
                  <pic:blipFill>
                    <a:blip r:embed="rIdImg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Etter tabellen gjelder NS-EN 13670.</w:t>
      </w:r>
    </w:p>
  </w:body>
</w:document>
</file>

<file path=word/_rels/document.xml.rels><?xml version="1.0" encoding="UTF-8" standalone="yes"?><Relationships xmlns="http://schemas.openxmlformats.org/package/2006/relationships"><Relationship Id="rIdImg" Type="http://schemas.openxmlformats.org/officeDocument/2006/relationships/image" Target="media/tabell-84-2.png"/></Relationships>
</file>